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DA7B1" w14:textId="77777777" w:rsidR="00345161" w:rsidRDefault="00345161">
      <w:pPr>
        <w:suppressAutoHyphens/>
        <w:spacing w:after="0" w:line="240" w:lineRule="auto"/>
        <w:jc w:val="both"/>
        <w:rPr>
          <w:rFonts w:ascii="Times New Roman" w:eastAsia="Times New Roman" w:hAnsi="Times New Roman"/>
          <w:color w:val="000000"/>
          <w:kern w:val="0"/>
          <w:sz w:val="20"/>
          <w:szCs w:val="20"/>
        </w:rPr>
      </w:pPr>
    </w:p>
    <w:p w14:paraId="1E9729DD" w14:textId="43F9BAD1" w:rsidR="00345161" w:rsidRDefault="00000000">
      <w:pPr>
        <w:suppressAutoHyphens/>
        <w:spacing w:after="0" w:line="240" w:lineRule="auto"/>
        <w:jc w:val="both"/>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 xml:space="preserve"> </w:t>
      </w:r>
      <w:r w:rsidR="00E83B8C">
        <w:rPr>
          <w:rFonts w:ascii="Times New Roman" w:eastAsia="Times New Roman" w:hAnsi="Times New Roman"/>
          <w:color w:val="000000"/>
          <w:kern w:val="0"/>
          <w:sz w:val="20"/>
          <w:szCs w:val="20"/>
        </w:rPr>
        <w:t xml:space="preserve">Tabel : </w:t>
      </w:r>
      <w:r>
        <w:rPr>
          <w:rFonts w:ascii="Times New Roman" w:eastAsia="Times New Roman" w:hAnsi="Times New Roman"/>
          <w:color w:val="000000"/>
          <w:kern w:val="0"/>
          <w:sz w:val="20"/>
          <w:szCs w:val="20"/>
        </w:rPr>
        <w:t>Rekapitulasi Rata-Rata Skor Setiap Indikator Kemampuan Berbicara</w:t>
      </w:r>
    </w:p>
    <w:tbl>
      <w:tblPr>
        <w:tblStyle w:val="TableGrid"/>
        <w:tblW w:w="9357" w:type="dxa"/>
        <w:tblLook w:val="04A0" w:firstRow="1" w:lastRow="0" w:firstColumn="1" w:lastColumn="0" w:noHBand="0" w:noVBand="1"/>
      </w:tblPr>
      <w:tblGrid>
        <w:gridCol w:w="1871"/>
        <w:gridCol w:w="1871"/>
        <w:gridCol w:w="1871"/>
        <w:gridCol w:w="1871"/>
        <w:gridCol w:w="1873"/>
      </w:tblGrid>
      <w:tr w:rsidR="00345161" w14:paraId="313CCAE3" w14:textId="77777777">
        <w:trPr>
          <w:trHeight w:val="305"/>
        </w:trPr>
        <w:tc>
          <w:tcPr>
            <w:tcW w:w="1871" w:type="dxa"/>
            <w:shd w:val="clear" w:color="auto" w:fill="DEEAF6"/>
          </w:tcPr>
          <w:p w14:paraId="282DC0CE"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Tahap</w:t>
            </w:r>
          </w:p>
        </w:tc>
        <w:tc>
          <w:tcPr>
            <w:tcW w:w="1871" w:type="dxa"/>
            <w:shd w:val="clear" w:color="auto" w:fill="DEEAF6"/>
          </w:tcPr>
          <w:p w14:paraId="7E4A572E"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Indikator 1</w:t>
            </w:r>
          </w:p>
        </w:tc>
        <w:tc>
          <w:tcPr>
            <w:tcW w:w="1871" w:type="dxa"/>
            <w:shd w:val="clear" w:color="auto" w:fill="DEEAF6"/>
          </w:tcPr>
          <w:p w14:paraId="04FF7055"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Indikator 2</w:t>
            </w:r>
          </w:p>
        </w:tc>
        <w:tc>
          <w:tcPr>
            <w:tcW w:w="1871" w:type="dxa"/>
            <w:shd w:val="clear" w:color="auto" w:fill="DEEAF6"/>
          </w:tcPr>
          <w:p w14:paraId="568520A7"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Indikator 3</w:t>
            </w:r>
          </w:p>
        </w:tc>
        <w:tc>
          <w:tcPr>
            <w:tcW w:w="1873" w:type="dxa"/>
            <w:shd w:val="clear" w:color="auto" w:fill="DEEAF6"/>
          </w:tcPr>
          <w:p w14:paraId="4C429436"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Indikator 4</w:t>
            </w:r>
          </w:p>
        </w:tc>
      </w:tr>
      <w:tr w:rsidR="00345161" w14:paraId="512A5CB7" w14:textId="77777777">
        <w:trPr>
          <w:trHeight w:val="305"/>
        </w:trPr>
        <w:tc>
          <w:tcPr>
            <w:tcW w:w="1871" w:type="dxa"/>
          </w:tcPr>
          <w:p w14:paraId="04403631" w14:textId="77777777" w:rsidR="00345161" w:rsidRDefault="00000000">
            <w:pPr>
              <w:suppressAutoHyphens/>
              <w:spacing w:after="0" w:line="240" w:lineRule="auto"/>
              <w:jc w:val="both"/>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Pra Siklus</w:t>
            </w:r>
          </w:p>
        </w:tc>
        <w:tc>
          <w:tcPr>
            <w:tcW w:w="1871" w:type="dxa"/>
          </w:tcPr>
          <w:p w14:paraId="2E6BB378"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2.20/4,00</w:t>
            </w:r>
          </w:p>
        </w:tc>
        <w:tc>
          <w:tcPr>
            <w:tcW w:w="1871" w:type="dxa"/>
          </w:tcPr>
          <w:p w14:paraId="74D0C8E0"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2.27/4,00</w:t>
            </w:r>
          </w:p>
        </w:tc>
        <w:tc>
          <w:tcPr>
            <w:tcW w:w="1871" w:type="dxa"/>
          </w:tcPr>
          <w:p w14:paraId="08B721C1"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2.13/4,00</w:t>
            </w:r>
          </w:p>
        </w:tc>
        <w:tc>
          <w:tcPr>
            <w:tcW w:w="1873" w:type="dxa"/>
          </w:tcPr>
          <w:p w14:paraId="74969DA3"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2.20/4,00</w:t>
            </w:r>
          </w:p>
        </w:tc>
      </w:tr>
      <w:tr w:rsidR="00345161" w14:paraId="79F913B6" w14:textId="77777777">
        <w:trPr>
          <w:trHeight w:val="305"/>
        </w:trPr>
        <w:tc>
          <w:tcPr>
            <w:tcW w:w="1871" w:type="dxa"/>
          </w:tcPr>
          <w:p w14:paraId="6133C4E6" w14:textId="77777777" w:rsidR="00345161" w:rsidRDefault="00000000">
            <w:pPr>
              <w:suppressAutoHyphens/>
              <w:spacing w:after="0" w:line="240" w:lineRule="auto"/>
              <w:jc w:val="both"/>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Siklus I</w:t>
            </w:r>
          </w:p>
        </w:tc>
        <w:tc>
          <w:tcPr>
            <w:tcW w:w="1871" w:type="dxa"/>
          </w:tcPr>
          <w:p w14:paraId="1A15A564"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3.07/4,00</w:t>
            </w:r>
          </w:p>
        </w:tc>
        <w:tc>
          <w:tcPr>
            <w:tcW w:w="1871" w:type="dxa"/>
          </w:tcPr>
          <w:p w14:paraId="4B76AE24"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3.00/4,00</w:t>
            </w:r>
          </w:p>
        </w:tc>
        <w:tc>
          <w:tcPr>
            <w:tcW w:w="1871" w:type="dxa"/>
          </w:tcPr>
          <w:p w14:paraId="2303797D"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2.93/4,00</w:t>
            </w:r>
          </w:p>
        </w:tc>
        <w:tc>
          <w:tcPr>
            <w:tcW w:w="1873" w:type="dxa"/>
          </w:tcPr>
          <w:p w14:paraId="57588527"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3,00/4,00</w:t>
            </w:r>
          </w:p>
        </w:tc>
      </w:tr>
      <w:tr w:rsidR="00345161" w14:paraId="4D542D41" w14:textId="77777777">
        <w:trPr>
          <w:trHeight w:val="305"/>
        </w:trPr>
        <w:tc>
          <w:tcPr>
            <w:tcW w:w="1871" w:type="dxa"/>
          </w:tcPr>
          <w:p w14:paraId="6376388F" w14:textId="77777777" w:rsidR="00345161" w:rsidRDefault="00000000">
            <w:pPr>
              <w:suppressAutoHyphens/>
              <w:spacing w:after="0" w:line="240" w:lineRule="auto"/>
              <w:jc w:val="both"/>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Siklus II</w:t>
            </w:r>
          </w:p>
        </w:tc>
        <w:tc>
          <w:tcPr>
            <w:tcW w:w="1871" w:type="dxa"/>
          </w:tcPr>
          <w:p w14:paraId="4964A123"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3.53/4,00</w:t>
            </w:r>
          </w:p>
        </w:tc>
        <w:tc>
          <w:tcPr>
            <w:tcW w:w="1871" w:type="dxa"/>
          </w:tcPr>
          <w:p w14:paraId="348697BA"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3.40/4,00</w:t>
            </w:r>
          </w:p>
        </w:tc>
        <w:tc>
          <w:tcPr>
            <w:tcW w:w="1871" w:type="dxa"/>
          </w:tcPr>
          <w:p w14:paraId="2A779682"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3.47/4,00</w:t>
            </w:r>
          </w:p>
        </w:tc>
        <w:tc>
          <w:tcPr>
            <w:tcW w:w="1873" w:type="dxa"/>
          </w:tcPr>
          <w:p w14:paraId="48D5CE32" w14:textId="77777777" w:rsidR="00345161" w:rsidRDefault="00000000">
            <w:pPr>
              <w:suppressAutoHyphens/>
              <w:spacing w:after="0" w:line="240" w:lineRule="auto"/>
              <w:jc w:val="center"/>
              <w:rPr>
                <w:rFonts w:ascii="Times New Roman" w:eastAsia="Times New Roman" w:hAnsi="Times New Roman"/>
                <w:color w:val="000000"/>
                <w:kern w:val="0"/>
                <w:sz w:val="20"/>
                <w:szCs w:val="20"/>
              </w:rPr>
            </w:pPr>
            <w:r>
              <w:rPr>
                <w:rFonts w:ascii="Times New Roman" w:eastAsia="Times New Roman" w:hAnsi="Times New Roman"/>
                <w:color w:val="000000"/>
                <w:kern w:val="0"/>
                <w:sz w:val="20"/>
                <w:szCs w:val="20"/>
              </w:rPr>
              <w:t>3.53/4,00</w:t>
            </w:r>
          </w:p>
        </w:tc>
      </w:tr>
    </w:tbl>
    <w:p w14:paraId="3158EF54" w14:textId="77777777" w:rsidR="00345161" w:rsidRDefault="00000000">
      <w:pPr>
        <w:suppressAutoHyphens/>
        <w:spacing w:after="0" w:line="240" w:lineRule="auto"/>
        <w:ind w:firstLine="288"/>
        <w:jc w:val="both"/>
        <w:rPr>
          <w:rFonts w:ascii="Times New Roman" w:eastAsia="Times New Roman" w:hAnsi="Times New Roman"/>
          <w:color w:val="000000"/>
          <w:kern w:val="0"/>
          <w:sz w:val="20"/>
          <w:szCs w:val="20"/>
        </w:rPr>
      </w:pPr>
      <w:r>
        <w:rPr>
          <w:rFonts w:ascii="Times New Roman" w:eastAsia="Times New Roman" w:hAnsi="Times New Roman"/>
          <w:b/>
          <w:bCs/>
          <w:color w:val="000000"/>
          <w:kern w:val="0"/>
          <w:sz w:val="20"/>
          <w:szCs w:val="20"/>
        </w:rPr>
        <w:t>Keterangan</w:t>
      </w:r>
      <w:r>
        <w:rPr>
          <w:rFonts w:ascii="Times New Roman" w:eastAsia="Times New Roman" w:hAnsi="Times New Roman"/>
          <w:color w:val="000000"/>
          <w:kern w:val="0"/>
          <w:sz w:val="20"/>
          <w:szCs w:val="20"/>
        </w:rPr>
        <w:t>: Indikator 1=memahami instruksi sederhana, 2= mengutarakan pertanyaan, 3=mengutarakan gagasan, 4=menggunakan kemampuan berbicara dalam berinteraksi dan bekerjasama. Rata-rata skor di hitung dari jumlah skor indikator seluruh anak dibagi 15 anak.</w:t>
      </w:r>
    </w:p>
    <w:p w14:paraId="3BE245C1" w14:textId="77777777" w:rsidR="00345161" w:rsidRDefault="00345161">
      <w:pPr>
        <w:suppressAutoHyphens/>
        <w:spacing w:after="0" w:line="240" w:lineRule="auto"/>
        <w:ind w:firstLine="288"/>
        <w:jc w:val="both"/>
        <w:rPr>
          <w:rFonts w:ascii="Times New Roman" w:eastAsia="Times New Roman" w:hAnsi="Times New Roman"/>
          <w:color w:val="000000"/>
          <w:kern w:val="0"/>
          <w:sz w:val="20"/>
          <w:szCs w:val="20"/>
        </w:rPr>
      </w:pPr>
    </w:p>
    <w:p w14:paraId="729AC797" w14:textId="77777777" w:rsidR="00345161" w:rsidRDefault="00000000">
      <w:pPr>
        <w:jc w:val="both"/>
        <w:rPr>
          <w:rFonts w:ascii="Times New Roman" w:hAnsi="Times New Roman"/>
          <w:sz w:val="20"/>
          <w:szCs w:val="20"/>
        </w:rPr>
      </w:pPr>
      <w:r>
        <w:rPr>
          <w:rFonts w:ascii="Times New Roman" w:hAnsi="Times New Roman"/>
          <w:sz w:val="20"/>
          <w:szCs w:val="20"/>
        </w:rPr>
        <w:t>Keterangan: Indikator 1 = memahami instruksi sederhana; indikator 2 = mengutarakan pertanyaan; indikator 3 = mengutarakan gagasan; indikator 4 = menggunakan kemampuan berbicara dalam berinteraksi dan bekerja sama. Rata-rata skor dihitung berdasarkan jumlah skor seluruh anak pada setiap indikator dibagi jumlah subjek penelitian, yaitu 15 anak.</w:t>
      </w:r>
    </w:p>
    <w:p w14:paraId="36E7DAD3" w14:textId="77777777" w:rsidR="00345161" w:rsidRDefault="00000000">
      <w:pPr>
        <w:jc w:val="both"/>
        <w:rPr>
          <w:rFonts w:ascii="Times New Roman" w:hAnsi="Times New Roman"/>
          <w:sz w:val="20"/>
          <w:szCs w:val="20"/>
        </w:rPr>
      </w:pPr>
      <w:r>
        <w:rPr>
          <w:rFonts w:ascii="Times New Roman" w:hAnsi="Times New Roman"/>
          <w:sz w:val="20"/>
          <w:szCs w:val="20"/>
        </w:rPr>
        <w:t>Pada indikator memahami instruksi sederhana, rata-rata skor meningkat dari 2,20 pada pra-siklus menjadi 3,07 pada Siklus I dan 3,53 pada Siklus II. Peningkatan ini menunjukkan bahwa anak semakin mampu memahami arahan yang diberikan guru selama kegiatan pembelajaran. Penggunaan lagu yang disertai gerakan dan media visual pada Siklus II membantu anak memahami hubungan antara kata, lirik, dan tindakan yang dilakukan. Perbaikan tersebut juga didukung oleh penggunaan lagu yang lebih familiar dan sederhana sehingga anak lebih mudah mengikuti instruksi selama kegiatan.</w:t>
      </w:r>
    </w:p>
    <w:p w14:paraId="77C2AAF0" w14:textId="77777777" w:rsidR="00345161" w:rsidRDefault="00000000">
      <w:pPr>
        <w:jc w:val="both"/>
        <w:rPr>
          <w:rFonts w:ascii="Times New Roman" w:hAnsi="Times New Roman"/>
          <w:sz w:val="20"/>
          <w:szCs w:val="20"/>
        </w:rPr>
      </w:pPr>
      <w:r>
        <w:rPr>
          <w:rFonts w:ascii="Times New Roman" w:hAnsi="Times New Roman"/>
          <w:sz w:val="20"/>
          <w:szCs w:val="20"/>
        </w:rPr>
        <w:t>Pada indikator mengutarakan pertanyaan, rata-rata skor meningkat dari 2,27 pada pra-siklus menjadi 3,00 pada Siklus I dan 3,40 pada Siklus II. Pada kondisi awal, anak masih cenderung ragu untuk bertanya dan belum terbiasa menyampaikan pertanyaan secara lisan. Pada Siklus II, guru memberikan lebih banyak pertanyaan pemantik dan memberikan kesempatan berbicara dalam kelompok kecil. Strategi tersebut membuat anak memperoleh ruang yang lebih luas untuk merespons, bertanya, dan menyampaikan pendapat. Hal ini sejalan dengan temuan penelitian yang menyatakan bahwa kegiatan bernyanyi dapat meningkatkan rasa percaya diri anak sehingga anak lebih berani mengutarakan pertanyaan dan gagasan [17].</w:t>
      </w:r>
    </w:p>
    <w:p w14:paraId="0224B4AC" w14:textId="77777777" w:rsidR="00345161" w:rsidRDefault="00000000">
      <w:pPr>
        <w:jc w:val="both"/>
        <w:rPr>
          <w:rFonts w:ascii="Times New Roman" w:hAnsi="Times New Roman"/>
          <w:sz w:val="20"/>
          <w:szCs w:val="20"/>
        </w:rPr>
      </w:pPr>
      <w:r>
        <w:rPr>
          <w:rFonts w:ascii="Times New Roman" w:hAnsi="Times New Roman"/>
          <w:sz w:val="20"/>
          <w:szCs w:val="20"/>
        </w:rPr>
        <w:t>Pada indikator mengutarakan gagasan, rata-rata skor meningkat dari 2,13 pada pra-siklus menjadi 2,93 pada Siklus I dan 3,47 pada Siklus II. Indikator ini menunjukkan peningkatan yang cukup besar karena pada kondisi awal anak masih mengalami kesulitan dalam menyampaikan gagasan secara lisan. Pada Siklus I, anak mulai mampu menyampaikan gagasan sederhana, tetapi sebagian masih membutuhkan bantuan guru. Perkembangan semakin terlihat pada Siklus II setelah guru menggunakan pertanyaan pemantik dan memberikan kesempatan kepada anak untuk berbicara dalam kelompok kecil. Suasana pembelajaran yang menyenangkan melalui kegiatan bernyanyi juga membantu anak menjadi lebih percaya diri dalam mengungkapkan gagasannya [17].</w:t>
      </w:r>
    </w:p>
    <w:p w14:paraId="5533EB26" w14:textId="77777777" w:rsidR="00345161" w:rsidRDefault="00000000">
      <w:pPr>
        <w:jc w:val="both"/>
        <w:rPr>
          <w:rFonts w:ascii="Times New Roman" w:hAnsi="Times New Roman"/>
          <w:sz w:val="20"/>
          <w:szCs w:val="20"/>
        </w:rPr>
      </w:pPr>
      <w:r>
        <w:rPr>
          <w:rFonts w:ascii="Times New Roman" w:hAnsi="Times New Roman"/>
          <w:sz w:val="20"/>
          <w:szCs w:val="20"/>
        </w:rPr>
        <w:t>Pada indikator menggunakan kemampuan berbicara dalam berinteraksi dan bekerja sama, rata-rata skor meningkat dari 2,20 pada pra-siklus menjadi 3,00 pada Siklus I dan 3,53 pada Siklus II. Peningkatan ini menunjukkan bahwa kegiatan bernyanyi tidak hanya mendorong kemampuan berbicara secara individual, tetapi juga memberikan kesempatan kepada anak untuk berkomunikasi dengan guru dan teman. Pembagian anak ke dalam kelompok kecil pada Siklus II membuat interaksi antaranak menjadi lebih intensif. Anak dapat menyanyikan lagu secara bergantian, memberikan respons, mengikuti gerakan bersama, dan bekerja sama dalam kelompok. Temuan ini sejalan dengan penelitian yang menunjukkan bahwa aktivitas bernyanyi secara berkelompok dapat mendukung perkembangan kemampuan interaksi dan kerja sama anak [18].</w:t>
      </w:r>
    </w:p>
    <w:p w14:paraId="43D0E148" w14:textId="77777777" w:rsidR="00345161" w:rsidRDefault="00000000">
      <w:pPr>
        <w:jc w:val="both"/>
        <w:rPr>
          <w:rFonts w:ascii="Times New Roman" w:hAnsi="Times New Roman"/>
          <w:sz w:val="20"/>
          <w:szCs w:val="20"/>
        </w:rPr>
      </w:pPr>
      <w:r>
        <w:rPr>
          <w:rFonts w:ascii="Times New Roman" w:hAnsi="Times New Roman"/>
          <w:sz w:val="20"/>
          <w:szCs w:val="20"/>
        </w:rPr>
        <w:t>Jika dilihat secara keseluruhan, keempat indikator mengalami peningkatan dari pra-siklus hingga Siklus II. Rata-rata skor indikator 1 meningkat dari 2,20 menjadi 3,53, indikator 2 dari 2,27 menjadi 3,40, indikator 3 dari 2,13 menjadi 3,47, dan indikator 4 dari 2,20 menjadi 3,53. Dengan demikian, indikator yang menunjukkan skor akhir tertinggi adalah indikator 1 dan indikator 4, sedangkan skor akhir terendah terdapat pada indikator 2. Meskipun demikian, seluruh indikator telah mencapai rata-rata di atas skor 3,00 pada Siklus II yang menunjukkan bahwa kemampuan anak telah berkembang menuju kategori Berkembang Sesuai Harapan (BSH).</w:t>
      </w:r>
    </w:p>
    <w:p w14:paraId="3F5F54C8" w14:textId="77777777" w:rsidR="00345161" w:rsidRDefault="00000000">
      <w:pPr>
        <w:jc w:val="both"/>
        <w:rPr>
          <w:rFonts w:ascii="Times New Roman" w:hAnsi="Times New Roman"/>
          <w:sz w:val="20"/>
          <w:szCs w:val="20"/>
        </w:rPr>
      </w:pPr>
      <w:r>
        <w:rPr>
          <w:rFonts w:ascii="Times New Roman" w:hAnsi="Times New Roman"/>
          <w:sz w:val="20"/>
          <w:szCs w:val="20"/>
        </w:rPr>
        <w:t xml:space="preserve">Peningkatan kemampuan berbicara tersebut berkaitan dengan perubahan strategi pembelajaran pada setiap siklus. Pada Siklus I, metode bernyanyi sudah mampu meningkatkan ketertarikan anak, kejelasan pengucapan, dan pemahaman terhadap instruksi, tetapi guru masih cukup dominan dalam kegiatan sehingga kesempatan anak untuk </w:t>
      </w:r>
      <w:r>
        <w:rPr>
          <w:rFonts w:ascii="Times New Roman" w:hAnsi="Times New Roman"/>
          <w:sz w:val="20"/>
          <w:szCs w:val="20"/>
        </w:rPr>
        <w:lastRenderedPageBreak/>
        <w:t>berbicara belum maksimal. Berdasarkan hasil refleksi tersebut, pada Siklus II dilakukan beberapa perbaikan, yaitu menggunakan lagu yang lebih dikenal anak dengan tempo lebih ceria dan lirik lebih sederhana, membagi anak dalam kelompok kecil, mengurangi dominasi guru, memberikan pertanyaan pemantik, serta menggunakan media visual. Perubahan strategi tersebut membuat anak lebih aktif terlibat dalam kegiatan bernyanyi dan memperoleh kesempatan berbicara yang lebih banyak. Hasil pengamatan Siklus II juga menunjukkan bahwa anak menjadi lebih antusias, berani menjawab pertanyaan, mampu mengucapkan lirik dengan lebih jelas, dan aktif berinteraksi dalam kelompok.</w:t>
      </w:r>
    </w:p>
    <w:p w14:paraId="47445D63" w14:textId="77777777" w:rsidR="00345161" w:rsidRDefault="00000000">
      <w:pPr>
        <w:jc w:val="both"/>
        <w:rPr>
          <w:rFonts w:ascii="Times New Roman" w:hAnsi="Times New Roman"/>
          <w:sz w:val="20"/>
          <w:szCs w:val="20"/>
        </w:rPr>
      </w:pPr>
      <w:r>
        <w:rPr>
          <w:rFonts w:ascii="Times New Roman" w:hAnsi="Times New Roman"/>
          <w:sz w:val="20"/>
          <w:szCs w:val="20"/>
        </w:rPr>
        <w:t>Temuan tersebut menunjukkan bahwa metode bernyanyi sesuai dengan karakteristik pembelajaran anak usia dini yang membutuhkan kegiatan aktif, menarik, dan menyenangkan. Pengulangan lirik dan irama memberikan kesempatan kepada anak untuk mendengar dan mengucapkan kata secara berulang sehingga membantu penguasaan kosakata dan kejelasan pengucapan [13]. Selain itu, suasana pembelajaran yang menyenangkan dapat meningkatkan keberanian dan rasa percaya diri anak untuk berbicara serta mengutarakan gagasan [17]. Aktivitas bernyanyi secara berkelompok juga memberikan kesempatan kepada anak untuk menggunakan kemampuan berbicara dalam berinteraksi dan bekerja sama dengan teman [18].</w:t>
      </w:r>
    </w:p>
    <w:p w14:paraId="24BF8BEA" w14:textId="77777777" w:rsidR="00345161" w:rsidRDefault="00000000">
      <w:pPr>
        <w:jc w:val="both"/>
        <w:rPr>
          <w:rFonts w:ascii="Times New Roman" w:hAnsi="Times New Roman"/>
          <w:sz w:val="20"/>
          <w:szCs w:val="20"/>
        </w:rPr>
      </w:pPr>
      <w:r>
        <w:rPr>
          <w:rFonts w:ascii="Times New Roman" w:hAnsi="Times New Roman"/>
          <w:sz w:val="20"/>
          <w:szCs w:val="20"/>
        </w:rPr>
        <w:t>Dengan demikian, hasil penelitian menunjukkan bahwa penerapan metode bernyanyi yang disertai perbaikan strategi pembelajaran mampu meningkatkan seluruh indikator kemampuan berbicara anak usia 4 tahun. Peningkatan tersebut terlihat baik pada kemampuan memahami instruksi sederhana, mengutarakan pertanyaan, mengutarakan gagasan, maupun menggunakan kemampuan berbicara dalam berinteraksi dan bekerja sama. Hasil akhir berupa ketuntasan klasikal sebesar 86,7% telah melampaui indikator keberhasilan sebesar 80%, sehingga penerapan metode bernyanyi dapat dinyatakan efektif dalam meningkatkan kemampuan berbicara anak pada penelitian ini.</w:t>
      </w:r>
    </w:p>
    <w:sectPr w:rsidR="0034516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9154E" w14:textId="77777777" w:rsidR="009E266E" w:rsidRDefault="009E266E">
      <w:pPr>
        <w:spacing w:line="240" w:lineRule="auto"/>
      </w:pPr>
      <w:r>
        <w:separator/>
      </w:r>
    </w:p>
  </w:endnote>
  <w:endnote w:type="continuationSeparator" w:id="0">
    <w:p w14:paraId="2438DF13" w14:textId="77777777" w:rsidR="009E266E" w:rsidRDefault="009E26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63ED7" w14:textId="77777777" w:rsidR="009E266E" w:rsidRDefault="009E266E">
      <w:pPr>
        <w:spacing w:after="0"/>
      </w:pPr>
      <w:r>
        <w:separator/>
      </w:r>
    </w:p>
  </w:footnote>
  <w:footnote w:type="continuationSeparator" w:id="0">
    <w:p w14:paraId="39657DB0" w14:textId="77777777" w:rsidR="009E266E" w:rsidRDefault="009E266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44F"/>
    <w:rsid w:val="00345161"/>
    <w:rsid w:val="006D4DDA"/>
    <w:rsid w:val="008035F1"/>
    <w:rsid w:val="00817B32"/>
    <w:rsid w:val="0089201B"/>
    <w:rsid w:val="009946E5"/>
    <w:rsid w:val="009E266E"/>
    <w:rsid w:val="00B66786"/>
    <w:rsid w:val="00D13FE4"/>
    <w:rsid w:val="00D22845"/>
    <w:rsid w:val="00E83B8C"/>
    <w:rsid w:val="00F67785"/>
    <w:rsid w:val="00F9344F"/>
    <w:rsid w:val="00FE2E44"/>
    <w:rsid w:val="41300182"/>
    <w:rsid w:val="52313AAA"/>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6AF67"/>
  <w15:docId w15:val="{22CD71FF-8200-4EDC-B4EE-C169CBB86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val="id-ID" w:eastAsia="zh-CN"/>
    </w:rPr>
  </w:style>
  <w:style w:type="paragraph" w:styleId="Heading1">
    <w:name w:val="heading 1"/>
    <w:basedOn w:val="Normal"/>
    <w:next w:val="Normal"/>
    <w:link w:val="Heading1Char"/>
    <w:uiPriority w:val="9"/>
    <w:qFormat/>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Pr>
      <w:rFonts w:eastAsia="Times New Roman"/>
      <w:color w:val="595959"/>
      <w:spacing w:val="15"/>
      <w:sz w:val="28"/>
      <w:szCs w:val="28"/>
    </w:rPr>
  </w:style>
  <w:style w:type="table" w:styleId="TableGrid">
    <w:name w:val="Table Grid"/>
    <w:basedOn w:val="TableNormal"/>
    <w:uiPriority w:val="39"/>
    <w:qFormat/>
    <w:rPr>
      <w:rFonts w:ascii="Times New Roman" w:eastAsia="Times New Roman" w:hAnsi="Times New Roman"/>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Calibri Light" w:eastAsia="Times New Roman" w:hAnsi="Calibri Light"/>
      <w:spacing w:val="-10"/>
      <w:kern w:val="28"/>
      <w:sz w:val="56"/>
      <w:szCs w:val="56"/>
    </w:rPr>
  </w:style>
  <w:style w:type="character" w:customStyle="1" w:styleId="Heading1Char">
    <w:name w:val="Heading 1 Char"/>
    <w:link w:val="Heading1"/>
    <w:uiPriority w:val="9"/>
    <w:qFormat/>
    <w:rPr>
      <w:rFonts w:ascii="Calibri Light" w:eastAsia="Times New Roman" w:hAnsi="Calibri Light" w:cs="Times New Roman"/>
      <w:color w:val="2F5496"/>
      <w:sz w:val="40"/>
      <w:szCs w:val="40"/>
      <w:lang w:val="id-ID"/>
    </w:rPr>
  </w:style>
  <w:style w:type="character" w:customStyle="1" w:styleId="Heading2Char">
    <w:name w:val="Heading 2 Char"/>
    <w:link w:val="Heading2"/>
    <w:uiPriority w:val="9"/>
    <w:semiHidden/>
    <w:qFormat/>
    <w:rPr>
      <w:rFonts w:ascii="Calibri Light" w:eastAsia="Times New Roman" w:hAnsi="Calibri Light" w:cs="Times New Roman"/>
      <w:color w:val="2F5496"/>
      <w:sz w:val="32"/>
      <w:szCs w:val="32"/>
      <w:lang w:val="id-ID"/>
    </w:rPr>
  </w:style>
  <w:style w:type="character" w:customStyle="1" w:styleId="Heading3Char">
    <w:name w:val="Heading 3 Char"/>
    <w:link w:val="Heading3"/>
    <w:uiPriority w:val="9"/>
    <w:semiHidden/>
    <w:qFormat/>
    <w:rPr>
      <w:rFonts w:eastAsia="Times New Roman" w:cs="Times New Roman"/>
      <w:color w:val="2F5496"/>
      <w:sz w:val="28"/>
      <w:szCs w:val="28"/>
      <w:lang w:val="id-ID"/>
    </w:rPr>
  </w:style>
  <w:style w:type="character" w:customStyle="1" w:styleId="Heading4Char">
    <w:name w:val="Heading 4 Char"/>
    <w:link w:val="Heading4"/>
    <w:uiPriority w:val="9"/>
    <w:semiHidden/>
    <w:qFormat/>
    <w:rPr>
      <w:rFonts w:eastAsia="Times New Roman" w:cs="Times New Roman"/>
      <w:i/>
      <w:iCs/>
      <w:color w:val="2F5496"/>
      <w:lang w:val="id-ID"/>
    </w:rPr>
  </w:style>
  <w:style w:type="character" w:customStyle="1" w:styleId="Heading5Char">
    <w:name w:val="Heading 5 Char"/>
    <w:link w:val="Heading5"/>
    <w:uiPriority w:val="9"/>
    <w:semiHidden/>
    <w:qFormat/>
    <w:rPr>
      <w:rFonts w:eastAsia="Times New Roman" w:cs="Times New Roman"/>
      <w:color w:val="2F5496"/>
      <w:lang w:val="id-ID"/>
    </w:rPr>
  </w:style>
  <w:style w:type="character" w:customStyle="1" w:styleId="Heading6Char">
    <w:name w:val="Heading 6 Char"/>
    <w:link w:val="Heading6"/>
    <w:uiPriority w:val="9"/>
    <w:semiHidden/>
    <w:qFormat/>
    <w:rPr>
      <w:rFonts w:eastAsia="Times New Roman" w:cs="Times New Roman"/>
      <w:i/>
      <w:iCs/>
      <w:color w:val="595959"/>
      <w:lang w:val="id-ID"/>
    </w:rPr>
  </w:style>
  <w:style w:type="character" w:customStyle="1" w:styleId="Heading7Char">
    <w:name w:val="Heading 7 Char"/>
    <w:link w:val="Heading7"/>
    <w:uiPriority w:val="9"/>
    <w:semiHidden/>
    <w:qFormat/>
    <w:rPr>
      <w:rFonts w:eastAsia="Times New Roman" w:cs="Times New Roman"/>
      <w:color w:val="595959"/>
      <w:lang w:val="id-ID"/>
    </w:rPr>
  </w:style>
  <w:style w:type="character" w:customStyle="1" w:styleId="Heading8Char">
    <w:name w:val="Heading 8 Char"/>
    <w:link w:val="Heading8"/>
    <w:uiPriority w:val="9"/>
    <w:semiHidden/>
    <w:qFormat/>
    <w:rPr>
      <w:rFonts w:eastAsia="Times New Roman" w:cs="Times New Roman"/>
      <w:i/>
      <w:iCs/>
      <w:color w:val="272727"/>
      <w:lang w:val="id-ID"/>
    </w:rPr>
  </w:style>
  <w:style w:type="character" w:customStyle="1" w:styleId="Heading9Char">
    <w:name w:val="Heading 9 Char"/>
    <w:link w:val="Heading9"/>
    <w:uiPriority w:val="9"/>
    <w:semiHidden/>
    <w:qFormat/>
    <w:rPr>
      <w:rFonts w:eastAsia="Times New Roman" w:cs="Times New Roman"/>
      <w:color w:val="272727"/>
      <w:lang w:val="id-ID"/>
    </w:rPr>
  </w:style>
  <w:style w:type="character" w:customStyle="1" w:styleId="TitleChar">
    <w:name w:val="Title Char"/>
    <w:link w:val="Title"/>
    <w:uiPriority w:val="10"/>
    <w:qFormat/>
    <w:rPr>
      <w:rFonts w:ascii="Calibri Light" w:eastAsia="Times New Roman" w:hAnsi="Calibri Light" w:cs="Times New Roman"/>
      <w:spacing w:val="-10"/>
      <w:kern w:val="28"/>
      <w:sz w:val="56"/>
      <w:szCs w:val="56"/>
      <w:lang w:val="id-ID"/>
    </w:rPr>
  </w:style>
  <w:style w:type="character" w:customStyle="1" w:styleId="SubtitleChar">
    <w:name w:val="Subtitle Char"/>
    <w:link w:val="Subtitle"/>
    <w:uiPriority w:val="11"/>
    <w:qFormat/>
    <w:rPr>
      <w:rFonts w:eastAsia="Times New Roman" w:cs="Times New Roman"/>
      <w:color w:val="595959"/>
      <w:spacing w:val="15"/>
      <w:sz w:val="28"/>
      <w:szCs w:val="28"/>
      <w:lang w:val="id-ID"/>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qFormat/>
    <w:rPr>
      <w:i/>
      <w:iCs/>
      <w:color w:val="404040"/>
      <w:lang w:val="id-ID"/>
    </w:rPr>
  </w:style>
  <w:style w:type="paragraph" w:styleId="ListParagraph">
    <w:name w:val="List Paragraph"/>
    <w:basedOn w:val="Normal"/>
    <w:uiPriority w:val="34"/>
    <w:qFormat/>
    <w:pPr>
      <w:ind w:left="720"/>
      <w:contextualSpacing/>
    </w:pPr>
  </w:style>
  <w:style w:type="character" w:customStyle="1" w:styleId="IntenseEmphasis1">
    <w:name w:val="Intense Emphasis1"/>
    <w:uiPriority w:val="21"/>
    <w:qFormat/>
    <w:rPr>
      <w:i/>
      <w:iCs/>
      <w:color w:val="2F5496"/>
    </w:rPr>
  </w:style>
  <w:style w:type="paragraph" w:styleId="IntenseQuote">
    <w:name w:val="Intense Quote"/>
    <w:basedOn w:val="Normal"/>
    <w:next w:val="Normal"/>
    <w:link w:val="IntenseQuoteChar"/>
    <w:uiPriority w:val="30"/>
    <w:qFormat/>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qFormat/>
    <w:rPr>
      <w:i/>
      <w:iCs/>
      <w:color w:val="2F5496"/>
      <w:lang w:val="id-ID"/>
    </w:rPr>
  </w:style>
  <w:style w:type="character" w:customStyle="1" w:styleId="IntenseReference1">
    <w:name w:val="Intense Reference1"/>
    <w:uiPriority w:val="32"/>
    <w:qFormat/>
    <w:rPr>
      <w:b/>
      <w:bCs/>
      <w:smallCaps/>
      <w:color w:val="2F5496"/>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985</Words>
  <Characters>5615</Characters>
  <Application>Microsoft Office Word</Application>
  <DocSecurity>0</DocSecurity>
  <Lines>46</Lines>
  <Paragraphs>13</Paragraphs>
  <ScaleCrop>false</ScaleCrop>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2026-08-12T09:32:00Z</dcterms:created>
  <dcterms:modified xsi:type="dcterms:W3CDTF">2026-08-13T10:14:00Z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eyJoZGlkIjoiODY1M2Q1OTYyNGRhODgyOTM5ZDE1M2VkODRlY2U2ZjkifQ==</vt:lpwstr>
  </property>
  <property fmtid="{D5CDD505-2E9C-101B-9397-08002B2CF9AE}" pid="3" name="KSOProductBuildVer">
    <vt:lpwstr>1033-12.1.0.28032</vt:lpwstr>
  </property>
  <property fmtid="{D5CDD505-2E9C-101B-9397-08002B2CF9AE}" pid="4" name="ICV">
    <vt:lpwstr>3C6D4809EC13433CBA851E7B77AE3A67_12</vt:lpwstr>
  </property>
</Properties>
</file>